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B6" w:rsidRDefault="009C7C29">
      <w:pPr>
        <w:pStyle w:val="Direccinsobre"/>
        <w:tabs>
          <w:tab w:val="left" w:pos="0"/>
          <w:tab w:val="left" w:pos="1363"/>
        </w:tabs>
        <w:ind w:right="-737"/>
        <w:jc w:val="center"/>
      </w:pPr>
      <w:r>
        <w:rPr>
          <w:noProof/>
          <w:lang w:eastAsia="es-ES"/>
        </w:rPr>
        <w:drawing>
          <wp:inline distT="0" distB="0" distL="0" distR="0">
            <wp:extent cx="981075" cy="91249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</w:t>
      </w:r>
      <w:r>
        <w:rPr>
          <w:rFonts w:eastAsia="Arial"/>
          <w:noProof/>
          <w:lang w:eastAsia="es-ES"/>
        </w:rPr>
        <w:drawing>
          <wp:inline distT="0" distB="0" distL="0" distR="0">
            <wp:extent cx="1100455" cy="868680"/>
            <wp:effectExtent l="0" t="0" r="0" b="0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B6" w:rsidRDefault="00EF22B6">
      <w:pPr>
        <w:tabs>
          <w:tab w:val="right" w:pos="0"/>
        </w:tabs>
        <w:jc w:val="both"/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Times New Roman" w:hAnsi="Times New Roman"/>
          <w:b/>
          <w:color w:val="000000"/>
          <w:sz w:val="44"/>
          <w:szCs w:val="44"/>
          <w:lang w:eastAsia="es-ES"/>
        </w:rPr>
      </w:pPr>
      <w:bookmarkStart w:id="0" w:name="__DdeLink__2_601398112"/>
      <w:bookmarkEnd w:id="0"/>
      <w:r>
        <w:rPr>
          <w:rFonts w:ascii="Times New Roman" w:eastAsia="Times New Roman" w:hAnsi="Times New Roman"/>
          <w:b/>
          <w:color w:val="000000"/>
          <w:sz w:val="44"/>
          <w:szCs w:val="44"/>
          <w:lang w:eastAsia="es-ES"/>
        </w:rPr>
        <w:t xml:space="preserve">Cerca de 250 especialistas de América y Europa se dan cita en el XXIII Coloquio de Historia Canario-Americana de la Casa de Colón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eastAsia="Times New Roman"/>
        </w:rPr>
      </w:pPr>
      <w:bookmarkStart w:id="1" w:name="__DdeLink__2_6013981121"/>
      <w:bookmarkEnd w:id="1"/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es-ES"/>
        </w:rPr>
        <w:t>• E</w:t>
      </w:r>
      <w:r>
        <w:rPr>
          <w:rFonts w:ascii="Calibri" w:hAnsi="Calibri" w:cs="Calibri"/>
          <w:b/>
          <w:color w:val="000000"/>
          <w:sz w:val="28"/>
          <w:szCs w:val="28"/>
          <w:lang w:eastAsia="es-ES"/>
        </w:rPr>
        <w:t xml:space="preserve">ste foro de referencia se celebrará del 8 al 12 de octubre y posee un carácter especial al desarrollarse junto al </w:t>
      </w:r>
      <w:r>
        <w:rPr>
          <w:rFonts w:ascii="Calibri" w:hAnsi="Calibri" w:cs="Calibri"/>
          <w:b/>
          <w:color w:val="000000"/>
          <w:sz w:val="28"/>
          <w:szCs w:val="28"/>
          <w:lang w:eastAsia="es-ES"/>
        </w:rPr>
        <w:t>XII Encuentro Internacional de la Asociación de Historiadores Latinoamericanos y del Caribe (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  <w:lang w:eastAsia="es-ES"/>
        </w:rPr>
        <w:t>Adhilac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lang w:eastAsia="es-ES"/>
        </w:rPr>
        <w:t>)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b/>
          <w:color w:val="000000"/>
          <w:sz w:val="28"/>
          <w:szCs w:val="28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es-ES"/>
        </w:rPr>
        <w:t>• El evento confirma su papel como punto de encuentro y debate académico internacional y, además, como semillero e inspiración de la investigación histór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es-ES"/>
        </w:rPr>
        <w:t>ica hecha desde Canarias</w:t>
      </w:r>
    </w:p>
    <w:p w:rsidR="00EF22B6" w:rsidRDefault="00EF22B6">
      <w:pPr>
        <w:tabs>
          <w:tab w:val="left" w:pos="9184"/>
        </w:tabs>
        <w:ind w:left="454" w:right="170"/>
        <w:jc w:val="both"/>
      </w:pP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b/>
          <w:color w:val="000000"/>
          <w:sz w:val="28"/>
          <w:szCs w:val="28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hAnsi="Calibri" w:cs="Calibri"/>
          <w:b/>
          <w:color w:val="000000"/>
          <w:sz w:val="26"/>
          <w:szCs w:val="26"/>
          <w:lang w:eastAsia="es-ES"/>
        </w:rPr>
        <w:t>Las Palmas de Gran Canaria, 2 de octubre de 2018.-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Un total de 241 especialistas de dieciocho nacionalidades distintas se darán cita en la Casa de Colón entre el 8 y el 12 de octubre, cuando este centro del Cabildo de Gran Canari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a se convertirá una vez más en la gran orilla de la investigación histórica en el ámbito atlántico con la celebración del XXIII Coloquio de Historia Canario-</w:t>
      </w:r>
      <w:proofErr w:type="gramStart"/>
      <w:r>
        <w:rPr>
          <w:rFonts w:ascii="Calibri" w:hAnsi="Calibri" w:cs="Calibri"/>
          <w:color w:val="000000"/>
          <w:sz w:val="26"/>
          <w:szCs w:val="26"/>
          <w:lang w:eastAsia="es-ES"/>
        </w:rPr>
        <w:t>Americana</w:t>
      </w:r>
      <w:proofErr w:type="gramEnd"/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. </w:t>
      </w:r>
    </w:p>
    <w:p w:rsidR="00EF22B6" w:rsidRDefault="00EF22B6">
      <w:pPr>
        <w:tabs>
          <w:tab w:val="left" w:pos="9184"/>
        </w:tabs>
        <w:ind w:left="454" w:right="170"/>
        <w:jc w:val="both"/>
      </w:pPr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Esta cita bienal, 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>referencia desde hace más de cuatro décadas como espacio de debate s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>obre la historia de Canarias y América desde su creación en 1976 por impulso del profesor Francisco Morales Padrón,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posee esta vez un carácter doblemente especial al celebrarse conjuntamente con el XII Encuentro Internacional de la Asociación de Historiadores Latinoamericanos y del Caribe (</w:t>
      </w:r>
      <w:proofErr w:type="spellStart"/>
      <w:r>
        <w:rPr>
          <w:rFonts w:ascii="Calibri" w:hAnsi="Calibri" w:cs="Calibri"/>
          <w:color w:val="000000"/>
          <w:sz w:val="26"/>
          <w:szCs w:val="26"/>
          <w:lang w:eastAsia="es-ES"/>
        </w:rPr>
        <w:t>Adhilac</w:t>
      </w:r>
      <w:proofErr w:type="spellEnd"/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).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La destacada presencia de ‘la otra orilla’ cristaliza en la particip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ación de 62 académicos y académicas llegadas de once países americanos (Argentina, Brasil, Chile, Colombia, Trinidad y Tobago, Uruguay, Costa Rica, Cuba, Estados Unidos, México y Puerto Rico), a los que se suman historiadores e historiadoras de Alemania, F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rancia, Holanda, Polonia, Portugal y el Reino Unido, así como 45 de distintas universidades españolas.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Además, el Coloquio certifica su condición de semillero y palanca de la investigación histórica hecha en Canarias con la inscripción de 118 investigado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res e investigadoras del conjunto del archipiélago.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De la mano del Coloquio, Gran Canaria consolida su papel como punto de encuentro y debate académico internacional, en esta ocasión bajo el lema común ‘Relaciones 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lastRenderedPageBreak/>
        <w:t>histórico-culturales entre el mundo atlá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ntico’, punto de partida para que expertos y expertas de diversas nacionalidades amplíen el conocimiento de los flujos culturales y socioeconómicos entre continentes y espacios insulares.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Con el XXIII Coloquio de Historia Canario Americana, articulado en una docena de seminarios, y el XII Encuentro Internacional de la Asociación de Historiadores Latinoamericanos y del Caribe (ADHILAC), se busca sobre todo conocer las co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nexiones existentes y sus repercusiones socioculturales entre Europa, África y América con las distintas islas que conforman el universo atlántico como son los archipiélagos de Canarias, Madeira, Cabo Verde y Azores, así como Las Bahamas, Islas Vírgenes, l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as Antillas mayores y menores del Caribe, entre otras. </w:t>
      </w:r>
    </w:p>
    <w:p w:rsidR="009C7C29" w:rsidRDefault="009C7C29" w:rsidP="009C7C29">
      <w:pPr>
        <w:ind w:right="282"/>
        <w:jc w:val="both"/>
        <w:rPr>
          <w:rFonts w:hint="eastAsia"/>
        </w:rPr>
      </w:pPr>
    </w:p>
    <w:p w:rsidR="009C7C29" w:rsidRDefault="009C7C29" w:rsidP="009C7C29">
      <w:pPr>
        <w:ind w:left="426" w:right="282"/>
        <w:jc w:val="both"/>
      </w:pP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>El consejero de Cultura del Cabildo de Gran Canaria, Carlos Ruiz, destacó hoy que “l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a celebración de este evento supone una nueva demostración de la firme apuesta 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de la corporación insular 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>por el conocimiento de nuestra historia. Se trata de un objetivo fundamental de nuestro proyecto institucional que se prolonga desde ya hace ya más de cuatro décadas a través de los Coloquios de la Casa de Colón, siguiendo el espíritu y la filosofía originales que imprimió su impulsor, el pr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ofesor Francisco Morales Padrón”. 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 </w:t>
      </w:r>
    </w:p>
    <w:p w:rsidR="009C7C29" w:rsidRDefault="009C7C29" w:rsidP="009C7C29">
      <w:pPr>
        <w:ind w:left="426" w:right="282"/>
        <w:jc w:val="both"/>
      </w:pPr>
    </w:p>
    <w:p w:rsidR="009C7C29" w:rsidRPr="009C7C29" w:rsidRDefault="009C7C29" w:rsidP="009C7C29">
      <w:pPr>
        <w:ind w:left="426" w:right="282"/>
        <w:jc w:val="both"/>
      </w:pPr>
      <w:r>
        <w:t>“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L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a Casa de Colón nos vuelve a citar con la historia y con nuestro pasado, que no deja de ser el mejor de los espejos para descifrar nuestro presente y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anticipar e imaginar el futuro”, resumió Ruiz. 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</w:t>
      </w:r>
      <w:bookmarkStart w:id="2" w:name="_GoBack"/>
      <w:bookmarkEnd w:id="2"/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b/>
          <w:bCs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eastAsia="es-ES"/>
        </w:rPr>
        <w:t xml:space="preserve">Seminarios y áreas temáticas </w:t>
      </w: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El listado de seminarios demuestra el amplio de abanico de temas que se pondrá sobre la mesa de un Coloquio cuyo inicio oficial tendrá lugar el próximo lunes a partir de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las 09.45 horas con la sesión de apertura a cargo de Sergio Guerra </w:t>
      </w:r>
      <w:proofErr w:type="spellStart"/>
      <w:r>
        <w:rPr>
          <w:rFonts w:ascii="Calibri" w:hAnsi="Calibri" w:cs="Calibri"/>
          <w:color w:val="000000"/>
          <w:sz w:val="26"/>
          <w:szCs w:val="26"/>
          <w:lang w:eastAsia="es-ES"/>
        </w:rPr>
        <w:t>Vilaboy</w:t>
      </w:r>
      <w:proofErr w:type="spellEnd"/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, de la Universidad de La Habana y presidente de </w:t>
      </w:r>
      <w:proofErr w:type="spellStart"/>
      <w:r>
        <w:rPr>
          <w:rFonts w:ascii="Calibri" w:hAnsi="Calibri" w:cs="Calibri"/>
          <w:color w:val="000000"/>
          <w:sz w:val="26"/>
          <w:szCs w:val="26"/>
          <w:lang w:eastAsia="es-ES"/>
        </w:rPr>
        <w:t>Adhilac</w:t>
      </w:r>
      <w:proofErr w:type="spellEnd"/>
      <w:r>
        <w:rPr>
          <w:rFonts w:ascii="Calibri" w:hAnsi="Calibri" w:cs="Calibri"/>
          <w:color w:val="000000"/>
          <w:sz w:val="26"/>
          <w:szCs w:val="26"/>
          <w:lang w:eastAsia="es-ES"/>
        </w:rPr>
        <w:t>, quien impartirá la conferencia ‘La Habana en su V Centenario’ tras las palabas iniciales y la bienvenida del presidente del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Cabildo, Antonio Morales.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Seminarios como ‘Historia comparada del comercio entre América, el Caribe y Europa: los tintes naturales entre los siglos XVI-XX y las redes de intercambio’, ‘La Habana y su importancia en el mundo atlántico’, ‘La palabra, el p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>oder y la guerra. Las islas atlánticas y del Caribe en tiempos de Revolución 1801-1823’, ‘Tabaco azúcar, esclavos y fiscalidad en los mundos atlánticos’ o el dedicado a los migrantes, colones y exiliados en el espacio atlántico entre los siglos XIX y XX co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rroboran el carácter poliédrico de la cita.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highlight w:val="yellow"/>
        </w:rPr>
      </w:pP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Igualmente, se incluyen actividades de gran significado para Canarias, caso de la presentación de la página web con las obras de Juan </w:t>
      </w:r>
      <w:proofErr w:type="spellStart"/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>Marichal</w:t>
      </w:r>
      <w:proofErr w:type="spellEnd"/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 y que reflejan su trayectoria intelectual entre 1922 y 2010, a cargo de su hijo, el investigador y profesor Carlo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s </w:t>
      </w:r>
      <w:proofErr w:type="spellStart"/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>Marichal</w:t>
      </w:r>
      <w:proofErr w:type="spellEnd"/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t xml:space="preserve"> Salinas, en un acto que acogerá la sede de la Fundación Juan Negrín.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El resto de la travesía incluye escalas temáticas en los movimientos sociales y las ideas políticas en América Latina y el Caribe, la política y la acción cultural de los dip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lomáticos latinoamericanos entre 1880 y 1940, el significado de la Revolución de 1868 en el 150 aniversario de La Gloriosa, las fronteras ultramarinas y el Atlántico en los orígenes de la monarquía hispánica, el viaje y contrapunto cultural entre Canarias 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y América, los paisajes culturales el agua y la religiosidad y las advocaciones marianas en las islas atlánticas.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Otras cuatro columnas básicas del Coloquio serán las relacionadas con las áreas temáticas troncales, es decir, Geografía y Organización Terr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itorial, Arqueología, Arte </w:t>
      </w:r>
      <w:r>
        <w:rPr>
          <w:rFonts w:ascii="Calibri" w:hAnsi="Calibri" w:cs="Calibri"/>
          <w:color w:val="000000"/>
          <w:sz w:val="26"/>
          <w:szCs w:val="26"/>
          <w:highlight w:val="white"/>
          <w:lang w:eastAsia="es-ES"/>
        </w:rPr>
        <w:lastRenderedPageBreak/>
        <w:t xml:space="preserve">y Mujeres e Historia, este último apartado con una decena de ponencias donde sobresalen interesantes y novedosas aportaciones por parte de historiadores e historiadoras canarias.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La decisión de acoger la celebración del encuent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ro de la </w:t>
      </w:r>
      <w:proofErr w:type="spellStart"/>
      <w:r>
        <w:rPr>
          <w:rFonts w:ascii="Calibri" w:hAnsi="Calibri" w:cs="Calibri"/>
          <w:color w:val="000000"/>
          <w:sz w:val="26"/>
          <w:szCs w:val="26"/>
          <w:lang w:eastAsia="es-ES"/>
        </w:rPr>
        <w:t>Adhilac</w:t>
      </w:r>
      <w:proofErr w:type="spellEnd"/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se adoptó en la última edición del Coloquio, en 2016, a petición del propio colectivo de americanistas y supondrá la presencia masiva de académicos y académicas del continente americano en el año en el que se cumple el quinto centenario de</w:t>
      </w:r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la fundación de la ciudad de La Habana.  </w:t>
      </w:r>
    </w:p>
    <w:p w:rsidR="00EF22B6" w:rsidRDefault="00EF22B6">
      <w:pPr>
        <w:tabs>
          <w:tab w:val="left" w:pos="9184"/>
        </w:tabs>
        <w:ind w:left="454" w:right="170"/>
        <w:jc w:val="both"/>
      </w:pPr>
    </w:p>
    <w:p w:rsidR="00EF22B6" w:rsidRDefault="009C7C29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  <w:r>
        <w:rPr>
          <w:rFonts w:ascii="Calibri" w:hAnsi="Calibri" w:cs="Calibri"/>
          <w:color w:val="000000"/>
          <w:sz w:val="26"/>
          <w:szCs w:val="26"/>
          <w:lang w:eastAsia="es-ES"/>
        </w:rPr>
        <w:t>Toda la información disponible y actualizada sobre el XXIII Coloquio de Historia Canario-</w:t>
      </w:r>
      <w:proofErr w:type="gramStart"/>
      <w:r>
        <w:rPr>
          <w:rFonts w:ascii="Calibri" w:hAnsi="Calibri" w:cs="Calibri"/>
          <w:color w:val="000000"/>
          <w:sz w:val="26"/>
          <w:szCs w:val="26"/>
          <w:lang w:eastAsia="es-ES"/>
        </w:rPr>
        <w:t>Americana</w:t>
      </w:r>
      <w:proofErr w:type="gramEnd"/>
      <w:r>
        <w:rPr>
          <w:rFonts w:ascii="Calibri" w:hAnsi="Calibri" w:cs="Calibri"/>
          <w:color w:val="000000"/>
          <w:sz w:val="26"/>
          <w:szCs w:val="26"/>
          <w:lang w:eastAsia="es-ES"/>
        </w:rPr>
        <w:t xml:space="preserve"> estará disponible en la siguiente dirección web:   http://www.coloquiosdehistoriacanarioamericana.com/. 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6"/>
          <w:szCs w:val="26"/>
          <w:lang w:eastAsia="es-ES"/>
        </w:rPr>
      </w:pPr>
    </w:p>
    <w:p w:rsidR="00EF22B6" w:rsidRDefault="009C7C29">
      <w:pPr>
        <w:tabs>
          <w:tab w:val="left" w:pos="9184"/>
        </w:tabs>
        <w:ind w:left="454" w:right="170"/>
        <w:jc w:val="right"/>
        <w:rPr>
          <w:rFonts w:ascii="Times New Roman" w:hAnsi="Times New Roman" w:cs="Calibri"/>
          <w:color w:val="000000"/>
          <w:sz w:val="22"/>
          <w:szCs w:val="22"/>
          <w:lang w:eastAsia="es-ES"/>
        </w:rPr>
      </w:pPr>
      <w:r>
        <w:rPr>
          <w:rFonts w:ascii="Times New Roman" w:hAnsi="Times New Roman" w:cs="Calibri"/>
          <w:color w:val="000000"/>
          <w:sz w:val="22"/>
          <w:szCs w:val="22"/>
          <w:lang w:eastAsia="es-ES"/>
        </w:rPr>
        <w:t>Más i</w:t>
      </w:r>
      <w:r>
        <w:rPr>
          <w:rFonts w:ascii="Times New Roman" w:hAnsi="Times New Roman" w:cs="Calibri"/>
          <w:color w:val="000000"/>
          <w:sz w:val="22"/>
          <w:szCs w:val="22"/>
          <w:lang w:eastAsia="es-ES"/>
        </w:rPr>
        <w:t>nformación:</w:t>
      </w:r>
    </w:p>
    <w:p w:rsidR="00EF22B6" w:rsidRDefault="009C7C29">
      <w:pPr>
        <w:tabs>
          <w:tab w:val="left" w:pos="9184"/>
        </w:tabs>
        <w:ind w:left="454" w:right="170"/>
        <w:jc w:val="right"/>
        <w:rPr>
          <w:rFonts w:ascii="Times New Roman" w:hAnsi="Times New Roman" w:cs="Calibri"/>
          <w:color w:val="000000"/>
          <w:sz w:val="22"/>
          <w:szCs w:val="22"/>
          <w:lang w:eastAsia="es-ES"/>
        </w:rPr>
      </w:pPr>
      <w:r>
        <w:rPr>
          <w:rFonts w:ascii="Times New Roman" w:hAnsi="Times New Roman" w:cs="Calibri"/>
          <w:color w:val="000000"/>
          <w:sz w:val="22"/>
          <w:szCs w:val="22"/>
          <w:lang w:eastAsia="es-ES"/>
        </w:rPr>
        <w:t xml:space="preserve">Gregorio Cabrera: 629 330 479 </w:t>
      </w: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Times New Roman" w:hAnsi="Times New Roman" w:cs="Calibri"/>
          <w:color w:val="000000"/>
          <w:sz w:val="22"/>
          <w:szCs w:val="22"/>
          <w:lang w:eastAsia="es-ES"/>
        </w:rPr>
      </w:pPr>
    </w:p>
    <w:p w:rsidR="00EF22B6" w:rsidRDefault="00EF22B6">
      <w:pPr>
        <w:tabs>
          <w:tab w:val="left" w:pos="9184"/>
        </w:tabs>
        <w:ind w:left="454" w:right="170"/>
        <w:jc w:val="both"/>
        <w:rPr>
          <w:rFonts w:ascii="Calibri" w:hAnsi="Calibri" w:cs="Calibri"/>
          <w:color w:val="000000"/>
          <w:sz w:val="22"/>
          <w:szCs w:val="22"/>
          <w:lang w:eastAsia="es-ES"/>
        </w:rPr>
      </w:pPr>
    </w:p>
    <w:p w:rsidR="00EF22B6" w:rsidRDefault="00EF22B6">
      <w:pPr>
        <w:tabs>
          <w:tab w:val="left" w:pos="9184"/>
        </w:tabs>
        <w:ind w:left="454" w:right="170"/>
        <w:jc w:val="right"/>
        <w:rPr>
          <w:rFonts w:ascii="Calibri" w:hAnsi="Calibri" w:cs="Calibri"/>
          <w:color w:val="000000"/>
          <w:sz w:val="22"/>
          <w:szCs w:val="22"/>
          <w:lang w:eastAsia="es-ES"/>
        </w:rPr>
      </w:pPr>
    </w:p>
    <w:p w:rsidR="00EF22B6" w:rsidRDefault="00EF22B6">
      <w:pPr>
        <w:tabs>
          <w:tab w:val="left" w:pos="9184"/>
        </w:tabs>
        <w:ind w:left="454" w:right="170"/>
        <w:jc w:val="both"/>
      </w:pPr>
    </w:p>
    <w:sectPr w:rsidR="00EF22B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;Arial Unicode MS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2B6"/>
    <w:rsid w:val="009C7C29"/>
    <w:rsid w:val="00E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594E"/>
  <w15:docId w15:val="{ED3054B2-85A6-45EA-B8E6-9CA60615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Direccinsobre">
    <w:name w:val="envelope address"/>
    <w:basedOn w:val="Normal"/>
    <w:pPr>
      <w:widowControl/>
      <w:suppressAutoHyphens/>
      <w:ind w:right="-710"/>
      <w:jc w:val="both"/>
    </w:pPr>
    <w:rPr>
      <w:rFonts w:ascii="Arial" w:eastAsia="ヒラギノ角ゴ Pro W3;Arial Unicode MS" w:hAnsi="Arial" w:cs="Arial"/>
      <w:b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995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Jose Manuel Ramirez Hernandez</cp:lastModifiedBy>
  <cp:revision>5</cp:revision>
  <dcterms:created xsi:type="dcterms:W3CDTF">2018-10-02T11:49:00Z</dcterms:created>
  <dcterms:modified xsi:type="dcterms:W3CDTF">2018-10-02T11:55:00Z</dcterms:modified>
  <dc:language>es-ES</dc:language>
</cp:coreProperties>
</file>